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MÉMOIRE TECHNIQUE — LOTS SECOND ŒUVRE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[NOM DE L'ENTREPRISE]</w:t>
      </w:r>
      <w:r>
        <w:rPr>
          <w:rFonts w:ascii="Times" w:hAnsi="Times" w:cs="Times"/>
          <w:sz w:val="24"/>
          <w:sz-cs w:val="24"/>
          <w:spacing w:val="0"/>
        </w:rPr>
        <w:t xml:space="preserve"/>
        <w:br/>
        <w:t xml:space="preserve">Marché : [INTITULÉ EXACT DU MARCHÉ]</w:t>
        <w:br/>
        <w:t xml:space="preserve">Lot n° [X] : [DÉSIGNATION — ex. Cloisons-doublages / Menuiseries intérieures / Peinture-revêtements / Sols souples / Carrelage]</w:t>
        <w:br/>
        <w:t xml:space="preserve">Pouvoir adjudicateur : [NOM DE L'ACHETEUR]</w:t>
        <w:br/>
        <w:t xml:space="preserve">Référence de la consultation : [RÉFÉRENCE]</w:t>
        <w:br/>
        <w:t xml:space="preserve">Date de remise des offres : [JJ/MM/AAAA]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Trame offerte par DOAKEN — doaken.fr. Pré-renseignée pour les lots de second œuvre et d'aménagement intérieur. Gardez les paragraphes correspondant à votre lot, supprimez les autres, et calez le plan sur les critères exacts du règlement de consultation.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Sommaire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1. Présentation de l'entreprise — 2. Compréhension du projet et des contraintes — 3. Méthodologie d'exécution — 4. Gestion de la co-activité et des interfaces — 5. Moyens humains — 6. Moyens matériels et approvisionnements — 7. Planning — 8. Qualité, contrôles et réception — 9. Sécurité — 10. Environnement — 11. Références — Annexes.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1. Présentation de l'entreprise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une structure adaptée à la taille du lot, des qualifications Qualibat du bon domaine, et une capacité à tenir plusieurs zones en parallèle.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[NOM], [FORME JURIDIQUE] au capital de [MONTANT] €, RCS [VILLE] [SIREN], est spécialisée en [MÉTIER] depuis [ANNÉE].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Chiffres clés : CA [N-1] : [MONTANT] € — effectif : [X] dont [X] compagnons qualifiés — [X] chantiers/an dont [X] en marchés publics.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Qualifications Qualibat : [SELON LOT — ex. 4131/4132 plâtrerie-cloisons, 4311 menuiserie bois, 6111/6112 peinture, 6311 carrelage — n° et validité]. Assurances : RC Pro et décennale [ASSUREURS, N° DE POLICES].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2. Compréhension du projet et des contraintes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la preuve que vous avez lu le CCTP de VOTRE lot et repéré les locaux sensibles, les exigences de finition et les contraintes de site.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L'opération porte sur [DESCRIPTION : type de bâtiment, surfaces, nombre de locaux/logements, niveau de finition attendu].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Points d'attention identifiés 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Locaux à exigences particulières : [LOCAUX HUMIDES (classement E/B), LOCAUX ERP, ACOUSTIQUE RENFORCÉE, COUPE-FEU] — réponse : [SYSTÈMES ET PV D'ESSAIS CORRESPONDANTS].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Niveau de finition : [SOIGNÉ / TRÈS SOIGNÉ selon CCTP] — réponse : [ÉCHANTILLONS, ZONE TÉMOIN SOUMISE AU MAÎTRE D'ŒUVRE].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Site occupé / phasage par zones : [DÉTAIL] — réponse : [ORGANISATION PAR ZONES, HORAIRES, PROTECTIONS, CHEMINEMENTS].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Point singulier du CCTP (article [X]) : [DÉTAIL] — réponse : [MESURE].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3. Méthodologie d'exécution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les modes opératoires de votre lot, appuyés sur les DTU applicables, avec la logique de rotation par zones. Conservez uniquement les paragraphes de votre lot.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3.1 Réception des supports.</w:t>
      </w:r>
      <w:r>
        <w:rPr>
          <w:rFonts w:ascii="Times" w:hAnsi="Times" w:cs="Times"/>
          <w:sz w:val="24"/>
          <w:sz-cs w:val="24"/>
          <w:spacing w:val="0"/>
        </w:rPr>
        <w:t xml:space="preserve"> Constat contradictoire avec le lot précédent (planéité, hygrométrie, températures) avant toute intervention — réserves levées avant démarrage. Critères d'acceptation : [SELON DTU DU LOT].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3.2 [CLOISONS / DOUBLAGES — DTU 25.41].</w:t>
      </w:r>
      <w:r>
        <w:rPr>
          <w:rFonts w:ascii="Times" w:hAnsi="Times" w:cs="Times"/>
          <w:sz w:val="24"/>
          <w:sz-cs w:val="24"/>
          <w:spacing w:val="0"/>
        </w:rPr>
        <w:t xml:space="preserve"> Implantation au laser, ossatures [TYPE, ENTRAXE], parements [BA13/BA18, HYDRO EN LOCAUX HUMIDES], laine [TYPE, ÉPAISSEUR], traitement des joints [NIVEAU DE FINITION], renforts pour équipements lourds, PV coupe-feu et acoustiques joints en annexe.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3.3 [MENUISERIES INTÉRIEURES — DTU 36.5].</w:t>
      </w:r>
      <w:r>
        <w:rPr>
          <w:rFonts w:ascii="Times" w:hAnsi="Times" w:cs="Times"/>
          <w:sz w:val="24"/>
          <w:sz-cs w:val="24"/>
          <w:spacing w:val="0"/>
        </w:rPr>
        <w:t xml:space="preserve"> Blocs-portes [TYPE, PERFORMANCE FEU/ACOUSTIQUE], huisseries [MÉTAL/BOIS], pose sur cloisons finies, réglage des jeux, quincaillerie [GAMME], plinthes et habillages.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3.4 [PEINTURE — DTU 59.1].</w:t>
      </w:r>
      <w:r>
        <w:rPr>
          <w:rFonts w:ascii="Times" w:hAnsi="Times" w:cs="Times"/>
          <w:sz w:val="24"/>
          <w:sz-cs w:val="24"/>
          <w:spacing w:val="0"/>
        </w:rPr>
        <w:t xml:space="preserve"> Préparation des subjectiles (égrenage, enduit [TYPE], ponçage), impression + [X] couches de finition [PRODUIT, CLASSEMENT], état de finition [A/B/C selon CCTP], protection des ouvrages adjacents, zone témoin validée avant généralisation.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3.5 [SOLS SOUPLES — DTU 53.2 / CARRELAGE — DTU 52.2].</w:t>
      </w:r>
      <w:r>
        <w:rPr>
          <w:rFonts w:ascii="Times" w:hAnsi="Times" w:cs="Times"/>
          <w:sz w:val="24"/>
          <w:sz-cs w:val="24"/>
          <w:spacing w:val="0"/>
        </w:rPr>
        <w:t xml:space="preserve"> Contrôle hygrométrie du support ([X] % max), ragréage [CLASSE P3], pose [COLLÉE/SCELLÉE], calepinage joint en annexe, joints de fractionnement, plinthes ; classement UPEC des locaux respecté : [DÉTAIL].</w:t>
      </w:r>
    </w:p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3.6 Nettoyage et livraison.</w:t>
      </w:r>
      <w:r>
        <w:rPr>
          <w:rFonts w:ascii="Times" w:hAnsi="Times" w:cs="Times"/>
          <w:sz w:val="24"/>
          <w:sz-cs w:val="24"/>
          <w:spacing w:val="0"/>
        </w:rPr>
        <w:t xml:space="preserve"> Repli zone par zone, nettoyage fin, protection des ouvrages finis jusqu'à réception, OPR anticipées avec le maître d'œuvre.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4. Gestion de la co-activité et des interfaces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sur un lot de second œuvre, la capacité à travailler AVEC les autres corps d'état sans retarder le planning général. Section souvent décisive.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Participation aux réunions de coordination hebdomadaires, calage des rotations par zones avec [LOTS EN AMONT/AVAL : plâtrerie, électricité, plomberie, sols], signalement des non-conformités de supports sous [X] h, respect du planning directeur par zone. Un planning d'ordonnancement par zone est joint en annexe.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5. Moyens humains affectés au chantier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Fonction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Nom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Expérience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Présence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Conducteur de travaux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[NOM]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ans — [RÉFÉRENCE]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 j/semaine]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Chef d'équipe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[NOM]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ans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Permanente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Compagnons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[MÉTIER] qualifiés [NIVEAU CONVENTIONNEL]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—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Selon zones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Renfort mobilisable en pointe : [X] compagnons sous [X] jours (agences [VILLES]). Habilitations : [ÉCHAFAUDAGES R408, HABILITATION ÉLECTRIQUE BS SI NÉCESSAIRE, SST].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6. Moyens matériels et approvisionnements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sur le second œuvre, la logistique d'approvisionnement (délais fournisseurs, stockage par zone) compte plus que la liste d'outillage.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Matériel : [OUTILLAGE SPÉCIFIQUE DU LOT — lasers, lève-plaques, ponceuses girafe avec aspiration, machines à projeter…]. Approvisionnements : fournisseurs référencés [NOMS], délais [X] semaines anticipés dès la période de préparation, stockage sécurisé par zone en accord avec l'OPC, manutentions par [MONTE-MATÉRIAUX / ASCENSEUR DE CHANTIER].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7. Planning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Délai contractuel du lot : [X] mois, en [X] zones successives. Cadences : [ex. X m² de cloisons/jour/équipe, X blocs-portes/jour, X m²/jour de peinture]. Jalons : zone 1 livrée T0+[X] ; dernière zone : T0+[X]. Mesures d'accélération : renfort d'équipe, travail par demi-zones, approvisionnements tampons.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8. Qualité, contrôles et réception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Ce que l'acheteur attend : des contrôles nommés par ouvrage et une zone témoin. La qualité de finition est LE critère des lots architecturaux.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PAQ chantier remis en préparation. Zone témoin réalisée et validée par le maître d'œuvre avant généralisation ([LOCAL TYPE]). Autocontrôles par fiches : implantation, aplombs et planéité ([TOLÉRANCES DTU DU LOT]), hygrométrie avant pose, tenue des finitions. Fiches techniques et FDES des produits soumises au visa avant approvisionnement. DOE remis à la réception : [CONTENU].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9. Sécurité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PPSPS établi sur la base du PGC. Risques principaux du lot : travail en hauteur ([PIRL, ÉCHAFAUDAGES ROULANTS R457]), manutentions ([LÈVE-PLAQUES, CHARIOTS]), poussières (ponçage avec aspiration à la source), produits chimiques (FDS disponibles, ventilation des locaux), co-activité (balisage des zones d'intervention). Accueil sécurité, quart d'heure sécurité [FRÉQUENCE]. TF [X], TG [X] ([ANNÉE]).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10. Environnement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Tri des déchets par flux ([PLÂTRE — filière de recyclage dédiée, EMBALLAGES, DIB]), traçabilité par bordereaux, produits à faible émission (étiquetage A+ / écolabels selon CCTP), limitation des nuisances en site occupé (horaires, poussières, bruit). [CLAUSE D'INSERTION LE CAS ÉCHÉANT : X heures prévues, modalités.]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11. Références similaires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Opération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Maître d'ouvrage / contact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Montant du lot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Année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spacing w:val="0"/>
        </w:rPr>
        <w:t xml:space="preserve">Similitudes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[OPÉRATION]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[MO, TÉLÉPHONE]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€ HT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[AAAA]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[TYPE DE LOCAUX, NIVEAU DE FINITION, SITE OCCUPÉ…]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[OPÉRATION]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[MO, TÉLÉPHONE]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€ HT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[AAAA]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[…]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[OPÉRATION]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[MO, TÉLÉPHONE]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[X] € HT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[AAAA]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>[…]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Annexes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A1. CV encadrement — A2. Planning par zones — A3. Fiches techniques et PV d'essais (feu, acoustique) des systèmes proposés — A4. Qualifications et assurances — A5. Exemple de fiche d'autocontrôle — A6. Calepinages le cas échéant.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Rappel : la valeur technique pèse généralement 40 à 60 % de la note (article R2152-7 du Code de la commande publique). Sur un lot de second œuvre, les sections 4 (co-activité) et 8 (finitions, zone témoin) font la différence : elles doivent parler de CE bâtiment, pas du métier en général.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Modèle proposé par DOAKEN (doaken.fr) — plateforme de réponse aux appels d'offres : analyse du DCE, mémoire technique adapté aux critères du RC, chiffrage et dossier complet.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